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477</w:t>
      </w:r>
    </w:p>
    <w:p>
      <w:r>
        <w:t>Bundesgericht (BGE), 2014-08-28, DE</w:t>
      </w:r>
    </w:p>
    <w:p>
      <w:r>
        <w:rPr>
          <w:b/>
        </w:rPr>
        <w:t xml:space="preserve">Quelle: </w:t>
      </w:r>
      <w:r>
        <w:t>https://mcp.opencaselaw.ch/entscheid/bge_140 III 477</w:t>
      </w:r>
    </w:p>
    <w:p>
      <w:r>
        <w:t>FR: ATF 140 III 477</w:t>
      </w:r>
    </w:p>
    <w:p>
      <w:r>
        <w:t>IT: DTF 140 III 477</w:t>
      </w:r>
    </w:p>
    <w:p>
      <w:pPr>
        <w:pStyle w:val="Heading2"/>
      </w:pPr>
      <w:r>
        <w:t>Regeste</w:t>
      </w:r>
    </w:p>
    <w:p>
      <w:r>
        <w:t>Regeste Art. 190 Abs. 3 IPRG; zulässige Rügen bei der Anfechtung von Zwischenentscheiden. Zulässigkeit der Rügen nach Art. 190 Abs. 2 lit. c-e IPRG im Rahmen der Beschwerde gegen einen Zwischenentscheid über die Bestellung oder die Zuständigkeit des Schiedsgerichts (E. 3.1).</w:t>
      </w:r>
    </w:p>
    <w:p>
      <w:pPr>
        <w:pStyle w:val="Heading2"/>
      </w:pPr>
      <w:r>
        <w:t>Erwägungen</w:t>
      </w:r>
    </w:p>
    <w:p>
      <w:r>
        <w:rPr>
          <w:b/>
        </w:rPr>
        <w:t>E. 3</w:t>
      </w:r>
    </w:p>
    <w:p>
      <w:r>
        <w:t>Die Beschwerdeführerin macht geltend, das Schiedsgericht habe sich zu Unrecht für zuständig erklärt, da keine gültige Schiedsvereinbarung vorliege ( Art. 190 Abs. 2 lit. b IPRG [SR 291]).</w:t>
      </w:r>
    </w:p>
    <w:p>
      <w:r>
        <w:rPr>
          <w:b/>
        </w:rPr>
        <w:t>E. 3.1</w:t>
      </w:r>
    </w:p>
    <w:p>
      <w:r>
        <w:t>Das Bundesgericht prüft die Zuständigkeitsrüge nach Art. 190 Abs. 2 lit. b IPRG in rechtlicher Hinsicht frei, einschliesslich materieller Vorfragen, von deren Beantwortung die Zuständigkeit abhängt ( BGE 140 III 134 E. 3.1 mit Hinweisen).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BGE 134 III 565 E. 3.1 S. 567; BGE 133 III 139 E. 5 S. 141; je mit Hinweisen). Dies gilt auch bei der Beschwerde gegen den angefochtenen Zwischenentscheid über die Zuständigkeit des Schiedsgerichts. Vor- und BGE 140 III 477 S. 478 Zwischenentscheide können nach dem Wortlaut von Art. 190 Abs. 3 IPRG zwar nur aus den in Art. 190 Abs. 2 lit. a und b IPRG genannten Gründen angefochten werden, d.h. wegen rechtsfehlerhafter Bestellung (lit. a) oder unrichtiger Beurteilung der Zuständigkeit (lit. b) des Schiedsgerichts. Dies entspricht dem allgemeinen Grundsatz, dass gerichtsorganisatorische Fragen ihrer Natur nach vor der Weiterführung des Verfahrens endgültig zu erledigen sind ( BGE 130 III 76 E. 3.2.1 S. 80, der in E. 4.6 bezeichnenderweise von einem Ausschluss von Rügen "ausserhalb des Zuständigkeits- und Organisationsbereichs" spricht; vgl. auch BGE 138 III 94 E. 2.1 mit Hinweisen). Daraus ergibt sich auch die Obliegenheit der Parteien, diese Rügen bereits mit einer Beschwerde gegen den ersten Vor- oder Zwischenentscheid vorzutragen, ansonsten die Einwände verwirken ( BGE 130 III 76 E. 3.2.1 S. 80). Der Zweck einer frühzeitigen und endgültigen Erledigung der gerichtsorganisatorischen Fragen der ordnungsgemässen Ernennung oder Zusammensetzung bzw. der schiedsgerichtlichen Zuständigkeit kann allerdings nur erreicht werden, wenn der bundesgerichtliche Beschwerdeentscheid darüber auf einem Tatsachenfundament gefällt wird, das später nicht mehr in Frage gestellt werden kann. Wird nach Art. 190 Abs. 2 lit. a und b IPRG die vorschriftswidrige Bestellung oder eine unrichtige Beurteilung der Zuständigkeit gerügt, muss den Parteien gegenüber den tatsächlichen Feststellungen, auf deren Grundlage das Schiedsgericht seine ordnungsgemässe Bestellung oder seine Zuständigkeit bejaht hat, auch die Rüge offenstehen, diese beruhten auf einer Verletzung der in Art. 190 Abs. 2 IPRG vorgesehenen Verfahrensrechte, wie etwa des rechtlichen Gehörs oder des Grundsatzes der Gleichbehandlung (lit. d). Andernfalls würde in Kauf genommen, dass das Bundesgericht seinen Entscheid über die Bestellung oder die Zuständigkeit unter Umständen auf Grundlage eines Sachverhalts fällen müsste, der vom Schiedsgericht in Verletzung dieser Verfahrensgarantien festgestellt wurde. Auf diese Weise könnte etwa eine Gutheissung des Beschwerdeantrags, es sei der die Zuständigkeit bejahende Zwischenentscheid aufzuheben und die Unzuständigkeit des Schiedsgerichts festzustellen, aus rein (zuständigkeits-) rechtlichen Gründen erfolgen, ohne dass sich die Gegenseite je gegen eine allfällige Gehörsverletzung bei der Sachverhaltsermittlung hätte zur Wehr setzen können. Im Falle einer Beschwerdeabweisung wäre die Gehörsrüge nur aufgeschoben und gegen den ersten Teil- bzw. den Endschiedsspruch zu erheben, womit gegebenenfalls BGE 140 III 477 S. 479 am Ende des Schiedsverfahrens einmal mehr Zuständigkeitsfragen beurteilt werden müssten. Dies würde dem Zweck von Art. 190 Abs. 3 IPRG , diese Fragen sogleich und abschliessend zu klären, widersprechen. Auch die Beschwerde gegen einen Vor- oder Zwischenentscheid wegen vorschriftswidriger Ernennung des Einzelschiedsrichters oder vorschriftswidriger Zusammensetzung ( Art. 190 Abs. 2 lit. a IPRG ) bzw. wegen fehlender Zuständigkeit des Schiedsgerichts ( Art. 190 Abs. 2 lit. b IPRG ) ist vom Bundesgericht auf Grundlage von schiedsgerichtlichen Sachverhaltsfeststellungen zu beurteilen, die allfälligen Vorwürfen einer Verletzung fundamentaler Verfahrensrechte standhalten. Im Rahmen einer solchen Beschwerde können daher auch die weiteren Rügen nach Art. 190 Abs. 2 IPRG erhoben werden, sofern sie mit der Bestellung bzw. der Zuständigkeit zusammenhängen (gl.M. BERGER/KELLERHALS, International and Domestic Arbitration in Switzerland, 2. Aufl. 2010, Rz. 1537; KAUFMANN-KOHLER/RIGOZZI, Arbitrage international, 2. Aufl. 2010, Rz. 717; ERICH TAGWERKER, Zur Anfechtung schiedsgerichtlicher Vor- und Zwischenentscheide nach Art. 190 IPRG , 2009, S. 34 ff.; SÉBASTIEN BESSON, Le recours contre la sentence arbitrale internationale selon la nouvelle LTF, Bulletin ASA 2007 S. 9 Fn. 24; ANDREAS BUCHER, in: Commentaire romand, Loi sur le droit international privé, Convention de Lugano, 2011, N. 20 zu Art. 190 IPRG ; MATTHIAS LEEMANN, Challenging international arbitration awards in Switzerland on the ground of a lack of independence and impartiality of an arbitrator, Bulletin ASA 2011 S. 18 f.; CHRISTIAN LUCZAK, Beschwerde gegen Schiedsgerichtsentscheide, in: Prozessieren vor Bundesgericht, 3. Aufl. 2011, Rz. 6.24; vgl. zu der Art. 190 Abs. 3 IPRG entsprechenden Bestimmung von Art. 392 lit. b ZPO DIETER GRÄNICHER, in: Kommentar zur Schweizerischen Zivilprozessordnung [ZPO], Thomas Sutter-Somm und andere [Hrsg.], 2. Aufl. 2013, N. 25 zu Art. 392 ZPO ; MICHAEL MRÁZ, in: Basler Kommentar, Schweizerische Zivilprozessordnung, 2. Aufl. 2013, N. 14 zu Art. 392 ZPO ; MARUGG/NEUKOM CHANEY, in: Berner Kommentar, Schweizerische Zivilprozessordnung, 2014, N. 23 zu Art. 392 ZPO ; a.M. STEFANIE PFISTERER, in: Basler Kommentar, Internationales Privatrecht, 3. Aufl. 2013, N. 90 zu Art. 190 IPRG ). Solche Rügen sind jedoch strikte auf Punkte zu beschränken, die unmittelbar die Bestellung oder die Zuständigkeit des Schiedsgerichts betreffen; ansonsten sind sie unzulässig und es ist darauf nicht einzutreten. BGE 140 III 477 S. 480 Die von der Beschwerdeführerin erhobenen Rügen, das Schiedsgericht habe im Rahmen der Sachverhaltsfeststellung seiner Zuständigkeitsentscheidung den Grundsatz der Gleichbehandlung der Parteien und den Grundsatz des rechtlichen Gehörs verletzt ( Art. 190 Abs. 2 lit. d IPRG ), sind demnach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